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10" w:rsidRDefault="00983410" w:rsidP="0098341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F90C12">
        <w:rPr>
          <w:rFonts w:ascii="Garamond" w:hAnsi="Garamond" w:cs="Arial"/>
          <w:sz w:val="24"/>
          <w:szCs w:val="24"/>
        </w:rPr>
        <w:t xml:space="preserve">What is the community need and job availability for program graduates? </w:t>
      </w:r>
      <w:r>
        <w:rPr>
          <w:rFonts w:ascii="Garamond" w:hAnsi="Garamond" w:cs="Arial"/>
          <w:sz w:val="24"/>
          <w:szCs w:val="24"/>
        </w:rPr>
        <w:t xml:space="preserve">Include the data tables from the </w:t>
      </w:r>
      <w:r w:rsidRPr="00D72FA4">
        <w:rPr>
          <w:rFonts w:ascii="Garamond" w:hAnsi="Garamond" w:cs="Arial"/>
          <w:sz w:val="24"/>
          <w:szCs w:val="24"/>
        </w:rPr>
        <w:t>Ec</w:t>
      </w:r>
      <w:r>
        <w:rPr>
          <w:rFonts w:ascii="Garamond" w:hAnsi="Garamond" w:cs="Arial"/>
          <w:sz w:val="24"/>
          <w:szCs w:val="24"/>
        </w:rPr>
        <w:t>onomic Modeling Specialists International (EMSI) data provided by the Office of Institutional Research, Assessment, and Planning</w:t>
      </w:r>
      <w:r w:rsidRPr="00F90C12">
        <w:rPr>
          <w:rFonts w:ascii="Garamond" w:hAnsi="Garamond" w:cs="Arial"/>
          <w:sz w:val="24"/>
          <w:szCs w:val="24"/>
        </w:rPr>
        <w:t>.</w:t>
      </w:r>
    </w:p>
    <w:p w:rsidR="00983410" w:rsidRDefault="00983410" w:rsidP="00983410">
      <w:pPr>
        <w:autoSpaceDE w:val="0"/>
        <w:autoSpaceDN w:val="0"/>
        <w:adjustRightInd w:val="0"/>
        <w:ind w:left="1440"/>
        <w:rPr>
          <w:rFonts w:ascii="Garamond" w:hAnsi="Garamond" w:cs="Arial"/>
          <w:sz w:val="24"/>
          <w:szCs w:val="24"/>
        </w:rPr>
      </w:pPr>
    </w:p>
    <w:p w:rsidR="00983410" w:rsidRPr="001730E4" w:rsidRDefault="00983410" w:rsidP="00983410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Pr="001730E4">
        <w:rPr>
          <w:sz w:val="24"/>
          <w:szCs w:val="24"/>
        </w:rPr>
        <w:t>he Office of Institutional Research, Assessment, and Planning.</w:t>
      </w:r>
    </w:p>
    <w:p w:rsidR="00983410" w:rsidRDefault="00983410" w:rsidP="00983410">
      <w:pPr>
        <w:autoSpaceDE w:val="0"/>
        <w:autoSpaceDN w:val="0"/>
        <w:adjustRightInd w:val="0"/>
        <w:ind w:left="810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983410" w:rsidRPr="00FE79CE" w:rsidTr="0080042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25-2032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Career/Technical Education Teachers, Secondary School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47-2011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Boilermakers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47-2151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proofErr w:type="spellStart"/>
            <w:r w:rsidRPr="00FE79CE">
              <w:rPr>
                <w:color w:val="313131"/>
                <w:sz w:val="24"/>
                <w:szCs w:val="24"/>
              </w:rPr>
              <w:t>Pipelayers</w:t>
            </w:r>
            <w:proofErr w:type="spellEnd"/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47-2152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Plumbers, Pipefitters, and Steamfitters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47-2211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Sheet Metal Workers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47-2221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Structural Iron and Steel Workers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47-3015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Helpers--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Pipelayers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>, Plumbers, Pipefitters, and Steamfitters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51-4121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 xml:space="preserve">Welders, Cutters, 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Solderers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 xml:space="preserve">, and 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Brazers</w:t>
            </w:r>
            <w:proofErr w:type="spellEnd"/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51-4122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Welding, Soldering, and Brazing Machine Setters, Operators, and Tenders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Regions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983410" w:rsidRPr="00FE79CE" w:rsidTr="00800420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Description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6019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Fresno County, CA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6031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Kings County, CA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6039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Madera County, CA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6047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Merced County, CA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6107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Tulare County, CA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b/>
          <w:bCs/>
          <w:color w:val="313131"/>
          <w:sz w:val="24"/>
          <w:szCs w:val="24"/>
        </w:rPr>
        <w:t>Timeframe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color w:val="313131"/>
          <w:sz w:val="24"/>
          <w:szCs w:val="24"/>
        </w:rPr>
        <w:t>2016 - 2026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  <w:proofErr w:type="spellStart"/>
      <w:r w:rsidRPr="00FE79CE">
        <w:rPr>
          <w:b/>
          <w:bCs/>
          <w:color w:val="313131"/>
          <w:sz w:val="24"/>
          <w:szCs w:val="24"/>
        </w:rPr>
        <w:t>Datarun</w:t>
      </w:r>
      <w:proofErr w:type="spellEnd"/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  <w:sectPr w:rsidR="00983410" w:rsidRPr="00FE79CE">
          <w:footerReference w:type="default" r:id="rId7"/>
          <w:pgSz w:w="12242" w:h="15842"/>
          <w:pgMar w:top="1080" w:right="1080" w:bottom="720" w:left="1080" w:header="720" w:footer="720" w:gutter="0"/>
          <w:cols w:space="720"/>
          <w:noEndnote/>
        </w:sectPr>
      </w:pPr>
      <w:r w:rsidRPr="00FE79CE">
        <w:rPr>
          <w:color w:val="313131"/>
          <w:sz w:val="24"/>
          <w:szCs w:val="24"/>
        </w:rPr>
        <w:t>2016.3 – QCEW Employees, Non-QCEW Employees, and Self-Employed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  <w:r w:rsidRPr="00FE79CE">
        <w:rPr>
          <w:color w:val="313131"/>
          <w:sz w:val="24"/>
          <w:szCs w:val="24"/>
        </w:rPr>
        <w:t>9 Occupations in 5 Counties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680"/>
        <w:gridCol w:w="1680"/>
        <w:gridCol w:w="840"/>
        <w:gridCol w:w="2521"/>
      </w:tblGrid>
      <w:tr w:rsidR="00983410" w:rsidRPr="00FE79CE" w:rsidTr="00800420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lastRenderedPageBreak/>
              <w:t xml:space="preserve">Occupation Summary for 9 Occupations </w:t>
            </w:r>
          </w:p>
        </w:tc>
      </w:tr>
      <w:tr w:rsidR="00983410" w:rsidRPr="00FE79CE" w:rsidTr="00800420">
        <w:trPr>
          <w:cantSplit/>
        </w:trPr>
        <w:tc>
          <w:tcPr>
            <w:tcW w:w="3360" w:type="dxa"/>
            <w:gridSpan w:val="2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5,158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9.3%</w:t>
            </w:r>
          </w:p>
        </w:tc>
        <w:tc>
          <w:tcPr>
            <w:tcW w:w="3361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$21.05/</w:t>
            </w:r>
            <w:proofErr w:type="spellStart"/>
            <w:r w:rsidRPr="00FE79CE">
              <w:rPr>
                <w:b/>
                <w:bCs/>
                <w:color w:val="313131"/>
                <w:sz w:val="24"/>
                <w:szCs w:val="24"/>
              </w:rPr>
              <w:t>hr</w:t>
            </w:r>
            <w:proofErr w:type="spellEnd"/>
          </w:p>
        </w:tc>
      </w:tr>
      <w:tr w:rsidR="00983410" w:rsidRPr="00FE79CE" w:rsidTr="00800420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Jobs (2016)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% Change (2016-2026)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Median Hourly Earnings</w:t>
            </w:r>
          </w:p>
        </w:tc>
      </w:tr>
      <w:tr w:rsidR="00983410" w:rsidRPr="00FE79CE" w:rsidTr="00800420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23% below National average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Nation: 10.0%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Nation: $21.96/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hr</w:t>
            </w:r>
            <w:proofErr w:type="spellEnd"/>
          </w:p>
        </w:tc>
      </w:tr>
      <w:tr w:rsidR="00983410" w:rsidRPr="00FE79CE" w:rsidTr="00800420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Growth</w:t>
            </w:r>
          </w:p>
        </w:tc>
      </w:tr>
      <w:tr w:rsidR="00983410" w:rsidRPr="00FE79CE" w:rsidTr="00800420">
        <w:trPr>
          <w:cantSplit/>
        </w:trPr>
        <w:tc>
          <w:tcPr>
            <w:tcW w:w="252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5,158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5,639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481</w:t>
            </w:r>
          </w:p>
        </w:tc>
        <w:tc>
          <w:tcPr>
            <w:tcW w:w="252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9.3%</w:t>
            </w:r>
          </w:p>
        </w:tc>
      </w:tr>
      <w:tr w:rsidR="00983410" w:rsidRPr="00FE79CE" w:rsidTr="00800420">
        <w:trPr>
          <w:cantSplit/>
        </w:trPr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2026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Change (2016-2026)</w:t>
            </w:r>
          </w:p>
        </w:tc>
        <w:tc>
          <w:tcPr>
            <w:tcW w:w="252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% Change (2016-2026)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noProof/>
          <w:sz w:val="24"/>
          <w:szCs w:val="24"/>
        </w:rPr>
        <w:drawing>
          <wp:inline distT="0" distB="0" distL="0" distR="0" wp14:anchorId="3F794320" wp14:editId="2A10F725">
            <wp:extent cx="419100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852"/>
        <w:gridCol w:w="1852"/>
        <w:gridCol w:w="1852"/>
        <w:gridCol w:w="1852"/>
      </w:tblGrid>
      <w:tr w:rsidR="00983410" w:rsidRPr="00FE79CE" w:rsidTr="00800420">
        <w:trPr>
          <w:tblHeader/>
        </w:trPr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Occupation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2026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Change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% Change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Career/Technical Education Teachers, Secondary School (25-2032)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278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303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9%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Boilermakers (47-2011)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74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84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14%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proofErr w:type="spellStart"/>
            <w:r w:rsidRPr="00FE79CE">
              <w:rPr>
                <w:color w:val="313131"/>
                <w:sz w:val="24"/>
                <w:szCs w:val="24"/>
              </w:rPr>
              <w:t>Pipelayers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 xml:space="preserve"> (47-2151)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218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263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45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21%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Plumbers, Pipefitters, and Steamfitters (47-2152)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1,876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2,077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201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11%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Sheet Metal Workers (47-2211)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487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541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11%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Structural Iron and Steel Workers (47-2221)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292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317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9%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Helpers--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Pipelayers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>, Plumbers, Pipefitters, and Steamfitters (47-3015)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107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131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22%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 xml:space="preserve">Welders, Cutters, 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Solderers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 xml:space="preserve">, and 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Brazers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 xml:space="preserve"> (51-4121)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1,637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1,750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113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7%</w:t>
            </w:r>
          </w:p>
        </w:tc>
      </w:tr>
      <w:tr w:rsidR="00983410" w:rsidRPr="00FE79CE" w:rsidTr="00800420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 xml:space="preserve">Welding, Soldering, and Brazing Machine Setters, </w:t>
            </w:r>
            <w:r w:rsidRPr="00FE79CE">
              <w:rPr>
                <w:color w:val="313131"/>
                <w:sz w:val="24"/>
                <w:szCs w:val="24"/>
              </w:rPr>
              <w:lastRenderedPageBreak/>
              <w:t>Operators, and Tenders (51-4122)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173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FF0000"/>
                <w:sz w:val="24"/>
                <w:szCs w:val="24"/>
              </w:rPr>
              <w:t>-16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FF0000"/>
                <w:sz w:val="24"/>
                <w:szCs w:val="24"/>
              </w:rPr>
              <w:t>-8%</w:t>
            </w:r>
          </w:p>
        </w:tc>
      </w:tr>
    </w:tbl>
    <w:p w:rsidR="00983410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</w:p>
    <w:p w:rsidR="00983410" w:rsidRPr="00AC5370" w:rsidRDefault="00983410" w:rsidP="00983410">
      <w:pPr>
        <w:rPr>
          <w:sz w:val="24"/>
          <w:szCs w:val="24"/>
        </w:rPr>
      </w:pPr>
    </w:p>
    <w:p w:rsidR="00983410" w:rsidRPr="00AC5370" w:rsidRDefault="00983410" w:rsidP="00983410">
      <w:pPr>
        <w:rPr>
          <w:sz w:val="24"/>
          <w:szCs w:val="24"/>
        </w:rPr>
      </w:pPr>
    </w:p>
    <w:p w:rsidR="00983410" w:rsidRDefault="00983410" w:rsidP="00983410">
      <w:pPr>
        <w:rPr>
          <w:sz w:val="24"/>
          <w:szCs w:val="24"/>
        </w:rPr>
      </w:pPr>
    </w:p>
    <w:p w:rsidR="00983410" w:rsidRDefault="00983410" w:rsidP="00983410">
      <w:pPr>
        <w:rPr>
          <w:sz w:val="24"/>
          <w:szCs w:val="24"/>
        </w:rPr>
      </w:pPr>
    </w:p>
    <w:p w:rsidR="00983410" w:rsidRDefault="00983410" w:rsidP="00983410">
      <w:pPr>
        <w:rPr>
          <w:sz w:val="24"/>
          <w:szCs w:val="24"/>
        </w:rPr>
      </w:pPr>
    </w:p>
    <w:p w:rsidR="00983410" w:rsidRPr="00AC5370" w:rsidRDefault="00983410" w:rsidP="00983410">
      <w:pPr>
        <w:rPr>
          <w:sz w:val="24"/>
          <w:szCs w:val="24"/>
        </w:rPr>
        <w:sectPr w:rsidR="00983410" w:rsidRPr="00AC5370">
          <w:footerReference w:type="default" r:id="rId9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983410" w:rsidRPr="00FE79CE" w:rsidTr="00800420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Percentile Earnings</w:t>
            </w:r>
          </w:p>
        </w:tc>
      </w:tr>
      <w:tr w:rsidR="00983410" w:rsidRPr="00FE79CE" w:rsidTr="00800420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$16.38/</w:t>
            </w:r>
            <w:proofErr w:type="spellStart"/>
            <w:r w:rsidRPr="00FE79CE">
              <w:rPr>
                <w:b/>
                <w:bCs/>
                <w:color w:val="313131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$21.05/</w:t>
            </w:r>
            <w:proofErr w:type="spellStart"/>
            <w:r w:rsidRPr="00FE79CE">
              <w:rPr>
                <w:b/>
                <w:bCs/>
                <w:color w:val="313131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$25.93/</w:t>
            </w:r>
            <w:proofErr w:type="spellStart"/>
            <w:r w:rsidRPr="00FE79CE">
              <w:rPr>
                <w:b/>
                <w:bCs/>
                <w:color w:val="313131"/>
                <w:sz w:val="24"/>
                <w:szCs w:val="24"/>
              </w:rPr>
              <w:t>hr</w:t>
            </w:r>
            <w:proofErr w:type="spellEnd"/>
          </w:p>
        </w:tc>
      </w:tr>
      <w:tr w:rsidR="00983410" w:rsidRPr="00FE79CE" w:rsidTr="00800420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25th Percentile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Median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75th Percentile Earnings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noProof/>
          <w:sz w:val="24"/>
          <w:szCs w:val="24"/>
        </w:rPr>
        <w:drawing>
          <wp:inline distT="0" distB="0" distL="0" distR="0" wp14:anchorId="67E61C15" wp14:editId="01D04313">
            <wp:extent cx="554355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315"/>
        <w:gridCol w:w="2315"/>
        <w:gridCol w:w="2315"/>
      </w:tblGrid>
      <w:tr w:rsidR="00983410" w:rsidRPr="00FE79CE" w:rsidTr="00800420">
        <w:trPr>
          <w:tblHeader/>
        </w:trPr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Occupation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25th Percentile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Median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75th Percentile Earnings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Career/Technical Education Teachers, Secondary School (25-2032)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$26.18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$33.52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$40.39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Boilermakers (47-2011)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$22.98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$27.06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$31.07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proofErr w:type="spellStart"/>
            <w:r w:rsidRPr="00FE79CE">
              <w:rPr>
                <w:color w:val="313131"/>
                <w:sz w:val="24"/>
                <w:szCs w:val="24"/>
              </w:rPr>
              <w:t>Pipelayers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 xml:space="preserve"> (47-2151)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$13.08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$15.51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$19.57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Plumbers, Pipefitters, and Steamfitters (47-2152)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$17.92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$24.00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$30.93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Sheet Metal Workers (47-2211)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$16.10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$21.39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$27.23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Structural Iron and Steel Workers (47-2221)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$15.66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$20.36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$24.73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Helpers--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Pipelayers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>, Plumbers, Pipefitters, and Steamfitters (47-3015)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$12.27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$13.55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$16.21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 xml:space="preserve">Welders, Cutters, 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Solderers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 xml:space="preserve">, and </w:t>
            </w:r>
            <w:proofErr w:type="spellStart"/>
            <w:r w:rsidRPr="00FE79CE">
              <w:rPr>
                <w:color w:val="313131"/>
                <w:sz w:val="24"/>
                <w:szCs w:val="24"/>
              </w:rPr>
              <w:t>Brazers</w:t>
            </w:r>
            <w:proofErr w:type="spellEnd"/>
            <w:r w:rsidRPr="00FE79CE">
              <w:rPr>
                <w:color w:val="313131"/>
                <w:sz w:val="24"/>
                <w:szCs w:val="24"/>
              </w:rPr>
              <w:t xml:space="preserve"> (51-4121)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$13.96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$17.29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$19.94</w:t>
            </w:r>
          </w:p>
        </w:tc>
      </w:tr>
      <w:tr w:rsidR="00983410" w:rsidRPr="00FE79CE" w:rsidTr="00800420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Welding, Soldering, and Brazing Machine Setters, Operators, and Tenders (51-4122)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$14.07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$16.30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$18.50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83410" w:rsidRPr="00FE79CE">
          <w:footerReference w:type="default" r:id="rId11"/>
          <w:pgSz w:w="12242" w:h="15842"/>
          <w:pgMar w:top="1080" w:right="1080" w:bottom="720" w:left="1080" w:header="720" w:footer="720" w:gutter="0"/>
          <w:cols w:space="720"/>
          <w:noEndnote/>
        </w:sectPr>
      </w:pP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983410" w:rsidRPr="00FE79CE" w:rsidTr="00800420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Regional Trends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noProof/>
          <w:sz w:val="24"/>
          <w:szCs w:val="24"/>
        </w:rPr>
        <w:drawing>
          <wp:inline distT="0" distB="0" distL="0" distR="0" wp14:anchorId="2DA9E388" wp14:editId="698A91A7">
            <wp:extent cx="6400800" cy="1628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94"/>
        <w:gridCol w:w="1418"/>
        <w:gridCol w:w="1418"/>
        <w:gridCol w:w="1418"/>
        <w:gridCol w:w="1418"/>
      </w:tblGrid>
      <w:tr w:rsidR="00983410" w:rsidRPr="00FE79CE" w:rsidTr="00800420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2026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% Change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142850"/>
                <w:sz w:val="24"/>
                <w:szCs w:val="24"/>
              </w:rPr>
              <w:t>●</w:t>
            </w: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5,158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5,639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481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9.3%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1185C4"/>
                <w:sz w:val="24"/>
                <w:szCs w:val="24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Fresno, CA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2,652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2,944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11.0%</w:t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ABDAFC"/>
                <w:sz w:val="24"/>
                <w:szCs w:val="24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Fresno County, CA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2,652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2,944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11.0%</w:t>
            </w:r>
          </w:p>
        </w:tc>
      </w:tr>
      <w:tr w:rsidR="00983410" w:rsidRPr="00FE79CE" w:rsidTr="00800420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 xml:space="preserve">Regional Breakdown 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noProof/>
          <w:sz w:val="24"/>
          <w:szCs w:val="24"/>
        </w:rPr>
        <w:drawing>
          <wp:inline distT="0" distB="0" distL="0" distR="0" wp14:anchorId="04029BD3" wp14:editId="73208D32">
            <wp:extent cx="2876550" cy="2162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color w:val="313131"/>
          <w:sz w:val="24"/>
          <w:szCs w:val="24"/>
        </w:rPr>
      </w:pP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983410" w:rsidRPr="00FE79CE" w:rsidTr="00800420">
        <w:trPr>
          <w:tblHeader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County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2026 Jobs</w:t>
            </w:r>
          </w:p>
        </w:tc>
      </w:tr>
      <w:tr w:rsidR="00983410" w:rsidRPr="00FE79CE" w:rsidTr="00800420"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Fresno County, CA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2,944</w:t>
            </w:r>
          </w:p>
        </w:tc>
      </w:tr>
      <w:tr w:rsidR="00983410" w:rsidRPr="00FE79CE" w:rsidTr="00800420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Tulare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1,262</w:t>
            </w:r>
          </w:p>
        </w:tc>
      </w:tr>
      <w:tr w:rsidR="00983410" w:rsidRPr="00FE79CE" w:rsidTr="00800420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Merced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675</w:t>
            </w:r>
          </w:p>
        </w:tc>
      </w:tr>
      <w:tr w:rsidR="00983410" w:rsidRPr="00FE79CE" w:rsidTr="00800420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Madera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507</w:t>
            </w:r>
          </w:p>
        </w:tc>
      </w:tr>
      <w:tr w:rsidR="00983410" w:rsidRPr="00FE79CE" w:rsidTr="00800420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Kings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251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83410" w:rsidRPr="00FE79CE">
          <w:footerReference w:type="default" r:id="rId14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983410" w:rsidRPr="00FE79CE" w:rsidTr="00800420">
        <w:tc>
          <w:tcPr>
            <w:tcW w:w="1008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Job Postings Summary</w:t>
            </w:r>
          </w:p>
        </w:tc>
      </w:tr>
      <w:tr w:rsidR="00983410" w:rsidRPr="00FE79CE" w:rsidTr="00800420"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569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4 : 1</w:t>
            </w:r>
          </w:p>
        </w:tc>
      </w:tr>
      <w:tr w:rsidR="00983410" w:rsidRPr="00FE79CE" w:rsidTr="00800420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Unique Postings (Jan 2016 - Aug 2016)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Posting Intensity (Jan 2016 - Aug 2016)</w:t>
            </w:r>
          </w:p>
        </w:tc>
      </w:tr>
      <w:tr w:rsidR="00983410" w:rsidRPr="00FE79CE" w:rsidTr="00800420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2,341 Total Postings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Regional Average: 6 : 1</w:t>
            </w: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42D5A310" wp14:editId="18DD65DF">
                  <wp:extent cx="3238500" cy="30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color w:val="313131"/>
          <w:sz w:val="24"/>
          <w:szCs w:val="24"/>
        </w:rPr>
      </w:pPr>
      <w:r w:rsidRPr="00FE79CE">
        <w:rPr>
          <w:color w:val="313131"/>
          <w:sz w:val="24"/>
          <w:szCs w:val="24"/>
        </w:rPr>
        <w:t xml:space="preserve">There were </w:t>
      </w:r>
      <w:r w:rsidRPr="00FE79CE">
        <w:rPr>
          <w:b/>
          <w:bCs/>
          <w:color w:val="313131"/>
          <w:sz w:val="24"/>
          <w:szCs w:val="24"/>
        </w:rPr>
        <w:t>2,341</w:t>
      </w:r>
      <w:r w:rsidRPr="00FE79CE">
        <w:rPr>
          <w:color w:val="313131"/>
          <w:sz w:val="24"/>
          <w:szCs w:val="24"/>
        </w:rPr>
        <w:t xml:space="preserve"> total job postings for your selection from January 2016 to August 2016, of which </w:t>
      </w:r>
      <w:r w:rsidRPr="00FE79CE">
        <w:rPr>
          <w:b/>
          <w:bCs/>
          <w:color w:val="313131"/>
          <w:sz w:val="24"/>
          <w:szCs w:val="24"/>
        </w:rPr>
        <w:t>569</w:t>
      </w:r>
      <w:r w:rsidRPr="00FE79CE">
        <w:rPr>
          <w:color w:val="313131"/>
          <w:sz w:val="24"/>
          <w:szCs w:val="24"/>
        </w:rPr>
        <w:t xml:space="preserve"> were unique. These numbers give us a Posting Intensity of </w:t>
      </w:r>
      <w:r w:rsidRPr="00FE79CE">
        <w:rPr>
          <w:b/>
          <w:bCs/>
          <w:color w:val="313131"/>
          <w:sz w:val="24"/>
          <w:szCs w:val="24"/>
        </w:rPr>
        <w:t>4-to-1</w:t>
      </w:r>
      <w:r w:rsidRPr="00FE79CE">
        <w:rPr>
          <w:color w:val="313131"/>
          <w:sz w:val="24"/>
          <w:szCs w:val="24"/>
        </w:rPr>
        <w:t>, meaning that for every 4 postings there is 1 unique job posting. This is lower than the Posting Intensity for all other occupations and companies in the region (6-to-1), indicating that they may not be trying as hard to hire for this position.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983410" w:rsidRPr="00FE79CE" w:rsidTr="00800420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Occupation Gender Breakdown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noProof/>
          <w:sz w:val="24"/>
          <w:szCs w:val="24"/>
        </w:rPr>
        <w:drawing>
          <wp:inline distT="0" distB="0" distL="0" distR="0" wp14:anchorId="0099D350" wp14:editId="284C597D">
            <wp:extent cx="771525" cy="876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983410" w:rsidRPr="00FE79CE" w:rsidTr="00800420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1185C4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4,848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94.0%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1411D772" wp14:editId="0B82F6E3">
                  <wp:extent cx="14287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55BCF5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Females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6.0%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3A4622B7" wp14:editId="2FAEAA2D">
                  <wp:extent cx="14287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83410" w:rsidRPr="00FE79CE">
          <w:footerReference w:type="default" r:id="rId19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983410" w:rsidRPr="00FE79CE" w:rsidTr="00800420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Occupation Age Breakdown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noProof/>
          <w:sz w:val="24"/>
          <w:szCs w:val="24"/>
        </w:rPr>
        <w:drawing>
          <wp:inline distT="0" distB="0" distL="0" distR="0" wp14:anchorId="5AC33A7E" wp14:editId="0EA7CBD1">
            <wp:extent cx="771525" cy="155257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163"/>
        <w:gridCol w:w="255"/>
      </w:tblGrid>
      <w:tr w:rsidR="00983410" w:rsidRPr="00FE79CE" w:rsidTr="00800420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Age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26B636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0.3%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5642D4CF" wp14:editId="5CEAF8C4">
                  <wp:extent cx="14287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6AD5BB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19-24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7.3%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3D5662CD" wp14:editId="36192605">
                  <wp:extent cx="14287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70A6B8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25-34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1,320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7DD45598" wp14:editId="55E4A8DF">
                  <wp:extent cx="1428750" cy="95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BBE5DF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35-44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1,337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25.9%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402F4835" wp14:editId="70F1E0E2">
                  <wp:extent cx="1428750" cy="95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55BCF5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45-54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1,207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23.4%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0A4D30D2" wp14:editId="4E569F5C">
                  <wp:extent cx="1428750" cy="95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2A5EA0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55-64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738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14.3%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6C2C79AA" wp14:editId="01446885">
                  <wp:extent cx="1428750" cy="95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1185C4"/>
                <w:sz w:val="24"/>
                <w:szCs w:val="24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65+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386A703D" wp14:editId="6660974C">
                  <wp:extent cx="1428750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10081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Occupation Race/Ethnicity Breakdown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sz w:val="24"/>
          <w:szCs w:val="24"/>
        </w:rPr>
      </w:pPr>
      <w:r w:rsidRPr="00FE79CE">
        <w:rPr>
          <w:noProof/>
          <w:sz w:val="24"/>
          <w:szCs w:val="24"/>
        </w:rPr>
        <w:drawing>
          <wp:inline distT="0" distB="0" distL="0" distR="0" wp14:anchorId="22991A53" wp14:editId="6693A237">
            <wp:extent cx="771525" cy="155257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80"/>
        <w:gridCol w:w="461"/>
        <w:gridCol w:w="2469"/>
        <w:gridCol w:w="253"/>
        <w:gridCol w:w="638"/>
        <w:gridCol w:w="461"/>
        <w:gridCol w:w="66"/>
        <w:gridCol w:w="253"/>
        <w:gridCol w:w="1165"/>
        <w:gridCol w:w="253"/>
        <w:gridCol w:w="1165"/>
        <w:gridCol w:w="255"/>
      </w:tblGrid>
      <w:tr w:rsidR="00983410" w:rsidRPr="00FE79CE" w:rsidTr="00800420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Race/Ethnicity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2016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26B636"/>
                <w:sz w:val="24"/>
                <w:szCs w:val="24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White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2,520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48.9%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48C2FD6F" wp14:editId="7B8162E9">
                  <wp:extent cx="1428750" cy="95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6AD5BB"/>
                <w:sz w:val="24"/>
                <w:szCs w:val="24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Hispanic or Latino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2,238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43.4%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2DBC91D0" wp14:editId="36329422">
                  <wp:extent cx="1428750" cy="95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70A6B8"/>
                <w:sz w:val="24"/>
                <w:szCs w:val="24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Asian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4D699F56" wp14:editId="68128EEA">
                  <wp:extent cx="1428750" cy="95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BBE5DF"/>
                <w:sz w:val="24"/>
                <w:szCs w:val="24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Black or African American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123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2B019DB2" wp14:editId="780B84B6">
                  <wp:extent cx="1428750" cy="95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55BCF5"/>
                <w:sz w:val="24"/>
                <w:szCs w:val="24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Two or More Races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6CEF2C28" wp14:editId="2E7DE60E">
                  <wp:extent cx="1428750" cy="952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2A5EA0"/>
                <w:sz w:val="24"/>
                <w:szCs w:val="24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American Indian or Alaska Native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0.5%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2EEF73BD" wp14:editId="3337EC88">
                  <wp:extent cx="1428750" cy="952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1185C4"/>
                <w:sz w:val="24"/>
                <w:szCs w:val="24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Native Hawaiian or Other Pacific Islander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noProof/>
                <w:color w:val="313131"/>
                <w:sz w:val="24"/>
                <w:szCs w:val="24"/>
              </w:rPr>
              <w:drawing>
                <wp:inline distT="0" distB="0" distL="0" distR="0" wp14:anchorId="0379F334" wp14:editId="7873C48A">
                  <wp:extent cx="1428750" cy="95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10081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 xml:space="preserve">Occupational Programs </w:t>
            </w:r>
          </w:p>
        </w:tc>
      </w:tr>
      <w:tr w:rsidR="00983410" w:rsidRPr="00FE79CE" w:rsidTr="00800420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6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82</w:t>
            </w:r>
          </w:p>
        </w:tc>
        <w:tc>
          <w:tcPr>
            <w:tcW w:w="3361" w:type="dxa"/>
            <w:gridSpan w:val="6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221</w:t>
            </w:r>
          </w:p>
        </w:tc>
      </w:tr>
      <w:tr w:rsidR="00983410" w:rsidRPr="00FE79CE" w:rsidTr="00800420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Programs (2015)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Completions (2015)</w:t>
            </w:r>
          </w:p>
        </w:tc>
        <w:tc>
          <w:tcPr>
            <w:tcW w:w="3361" w:type="dxa"/>
            <w:gridSpan w:val="6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Openings (2015)</w:t>
            </w:r>
          </w:p>
        </w:tc>
      </w:tr>
      <w:tr w:rsidR="00983410" w:rsidRPr="00FE79CE" w:rsidTr="00800420">
        <w:trPr>
          <w:gridAfter w:val="1"/>
          <w:wAfter w:w="255" w:type="dxa"/>
          <w:tblHeader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CIP Code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Program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Completions (2015)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48.0508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Welding Technology/Welder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82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46.9999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Construction Trades, Other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46.0503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Plumbing Technology/Plumber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46.0000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Construction Trades, General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13.1320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Trade and Industrial Teacher Education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10083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b/>
                <w:bCs/>
                <w:color w:val="313131"/>
                <w:sz w:val="24"/>
                <w:szCs w:val="24"/>
              </w:rPr>
            </w:pPr>
          </w:p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Industries Employing 9 Occupations</w:t>
            </w:r>
          </w:p>
        </w:tc>
      </w:tr>
      <w:tr w:rsidR="00983410" w:rsidRPr="00FE79CE" w:rsidTr="00800420">
        <w:trPr>
          <w:gridAfter w:val="1"/>
          <w:wAfter w:w="255" w:type="dxa"/>
          <w:tblHeader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Industry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Occupation Group Jobs in Industry (2016)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% of Occupation Group in Industry (2016)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b/>
                <w:bCs/>
                <w:color w:val="313131"/>
                <w:sz w:val="24"/>
                <w:szCs w:val="24"/>
              </w:rPr>
              <w:t>% of Total Jobs in Industry (2016)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 xml:space="preserve">Plumbing, Heating, and Air-Conditioning Contractors 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1,451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28.1%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36.2%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Elementary and Secondary Schools (Local Government)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292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5.7%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0.5%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 xml:space="preserve">Water and Sewer Line and Related Structures Construction 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259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5.0%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14.7%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 xml:space="preserve">Commercial and Industrial Machinery and Equipment (except Automotive and Electronic) Repair and Maintenance 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228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4.4%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13.4%</w:t>
            </w:r>
          </w:p>
        </w:tc>
      </w:tr>
      <w:tr w:rsidR="00983410" w:rsidRPr="00FE79CE" w:rsidTr="00800420">
        <w:trPr>
          <w:gridAfter w:val="1"/>
          <w:wAfter w:w="255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Local Government, Excluding Education and Hospitals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164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3.2%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983410" w:rsidRPr="00FE79CE" w:rsidRDefault="00983410" w:rsidP="0080042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sz w:val="24"/>
                <w:szCs w:val="24"/>
              </w:rPr>
            </w:pPr>
            <w:r w:rsidRPr="00FE79CE">
              <w:rPr>
                <w:color w:val="313131"/>
                <w:sz w:val="24"/>
                <w:szCs w:val="24"/>
              </w:rPr>
              <w:t>0.5%</w:t>
            </w:r>
          </w:p>
        </w:tc>
      </w:tr>
    </w:tbl>
    <w:p w:rsidR="00983410" w:rsidRPr="00FE79CE" w:rsidRDefault="00983410" w:rsidP="0098341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83410" w:rsidRPr="00FE79CE">
          <w:footerReference w:type="default" r:id="rId32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Appendix A - Data Sources and Calculations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Location Quotient</w:t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color w:val="313131"/>
          <w:sz w:val="24"/>
          <w:szCs w:val="24"/>
        </w:rPr>
        <w:t>Location quotient (LQ) is a way of quantifying how concentrated a particular industry, cluster, occupation, or demographic group is in a region as compared to the nation. It can reveal what makes a particular region unique in comparison to the national average.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Occupation Data</w:t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proofErr w:type="spellStart"/>
      <w:r w:rsidRPr="00FE79CE">
        <w:rPr>
          <w:color w:val="313131"/>
          <w:sz w:val="24"/>
          <w:szCs w:val="24"/>
        </w:rPr>
        <w:t>Emsi</w:t>
      </w:r>
      <w:proofErr w:type="spellEnd"/>
      <w:r w:rsidRPr="00FE79CE">
        <w:rPr>
          <w:color w:val="313131"/>
          <w:sz w:val="24"/>
          <w:szCs w:val="24"/>
        </w:rPr>
        <w:t xml:space="preserve"> occupation employment data are based on final </w:t>
      </w:r>
      <w:proofErr w:type="spellStart"/>
      <w:r w:rsidRPr="00FE79CE">
        <w:rPr>
          <w:color w:val="313131"/>
          <w:sz w:val="24"/>
          <w:szCs w:val="24"/>
        </w:rPr>
        <w:t>Emsi</w:t>
      </w:r>
      <w:proofErr w:type="spellEnd"/>
      <w:r w:rsidRPr="00FE79CE">
        <w:rPr>
          <w:color w:val="313131"/>
          <w:sz w:val="24"/>
          <w:szCs w:val="24"/>
        </w:rPr>
        <w:t xml:space="preserve"> industry data and final </w:t>
      </w:r>
      <w:proofErr w:type="spellStart"/>
      <w:r w:rsidRPr="00FE79CE">
        <w:rPr>
          <w:color w:val="313131"/>
          <w:sz w:val="24"/>
          <w:szCs w:val="24"/>
        </w:rPr>
        <w:t>Emsi</w:t>
      </w:r>
      <w:proofErr w:type="spellEnd"/>
      <w:r w:rsidRPr="00FE79CE">
        <w:rPr>
          <w:color w:val="313131"/>
          <w:sz w:val="24"/>
          <w:szCs w:val="24"/>
        </w:rPr>
        <w:t xml:space="preserve"> staffing patterns. Wage estimates are based on Occupational Employment Statistics (QCEW and Non-QCEW Employees classes of worker) and the American Community Survey (Self-Employed and Extended Proprietors). Occupational wage estimates also affected by county-level </w:t>
      </w:r>
      <w:proofErr w:type="spellStart"/>
      <w:r w:rsidRPr="00FE79CE">
        <w:rPr>
          <w:color w:val="313131"/>
          <w:sz w:val="24"/>
          <w:szCs w:val="24"/>
        </w:rPr>
        <w:t>Emsi</w:t>
      </w:r>
      <w:proofErr w:type="spellEnd"/>
      <w:r w:rsidRPr="00FE79CE">
        <w:rPr>
          <w:color w:val="313131"/>
          <w:sz w:val="24"/>
          <w:szCs w:val="24"/>
        </w:rPr>
        <w:t xml:space="preserve"> earnings by industry.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CareerBuilder/</w:t>
      </w:r>
      <w:proofErr w:type="spellStart"/>
      <w:r w:rsidRPr="00FE79CE">
        <w:rPr>
          <w:b/>
          <w:bCs/>
          <w:color w:val="313131"/>
          <w:sz w:val="24"/>
          <w:szCs w:val="24"/>
        </w:rPr>
        <w:t>Emsi</w:t>
      </w:r>
      <w:proofErr w:type="spellEnd"/>
      <w:r w:rsidRPr="00FE79CE">
        <w:rPr>
          <w:b/>
          <w:bCs/>
          <w:color w:val="313131"/>
          <w:sz w:val="24"/>
          <w:szCs w:val="24"/>
        </w:rPr>
        <w:t xml:space="preserve"> Job Postings</w:t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color w:val="313131"/>
          <w:sz w:val="24"/>
          <w:szCs w:val="24"/>
        </w:rPr>
        <w:t xml:space="preserve">Job postings are collected from various sources and processed/enriched by </w:t>
      </w:r>
      <w:proofErr w:type="spellStart"/>
      <w:r w:rsidRPr="00FE79CE">
        <w:rPr>
          <w:color w:val="313131"/>
          <w:sz w:val="24"/>
          <w:szCs w:val="24"/>
        </w:rPr>
        <w:t>Careerbuilder</w:t>
      </w:r>
      <w:proofErr w:type="spellEnd"/>
      <w:r w:rsidRPr="00FE79CE">
        <w:rPr>
          <w:color w:val="313131"/>
          <w:sz w:val="24"/>
          <w:szCs w:val="24"/>
        </w:rPr>
        <w:t xml:space="preserve"> to provide information such as standardized company name, occupation, skills, and geography. </w:t>
      </w:r>
      <w:proofErr w:type="spellStart"/>
      <w:r w:rsidRPr="00FE79CE">
        <w:rPr>
          <w:color w:val="313131"/>
          <w:sz w:val="24"/>
          <w:szCs w:val="24"/>
        </w:rPr>
        <w:t>Emsi</w:t>
      </w:r>
      <w:proofErr w:type="spellEnd"/>
      <w:r w:rsidRPr="00FE79CE">
        <w:rPr>
          <w:color w:val="313131"/>
          <w:sz w:val="24"/>
          <w:szCs w:val="24"/>
        </w:rPr>
        <w:t xml:space="preserve"> performs additional filtering and processing to improve compatibility with </w:t>
      </w:r>
      <w:proofErr w:type="spellStart"/>
      <w:r w:rsidRPr="00FE79CE">
        <w:rPr>
          <w:color w:val="313131"/>
          <w:sz w:val="24"/>
          <w:szCs w:val="24"/>
        </w:rPr>
        <w:t>Emsi</w:t>
      </w:r>
      <w:proofErr w:type="spellEnd"/>
      <w:r w:rsidRPr="00FE79CE">
        <w:rPr>
          <w:color w:val="313131"/>
          <w:sz w:val="24"/>
          <w:szCs w:val="24"/>
        </w:rPr>
        <w:t xml:space="preserve"> data.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Completers Data</w:t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color w:val="313131"/>
          <w:sz w:val="24"/>
          <w:szCs w:val="24"/>
        </w:rPr>
        <w:t xml:space="preserve">The </w:t>
      </w:r>
      <w:proofErr w:type="gramStart"/>
      <w:r w:rsidRPr="00FE79CE">
        <w:rPr>
          <w:color w:val="313131"/>
          <w:sz w:val="24"/>
          <w:szCs w:val="24"/>
        </w:rPr>
        <w:t>completers</w:t>
      </w:r>
      <w:proofErr w:type="gramEnd"/>
      <w:r w:rsidRPr="00FE79CE">
        <w:rPr>
          <w:color w:val="313131"/>
          <w:sz w:val="24"/>
          <w:szCs w:val="24"/>
        </w:rPr>
        <w:t xml:space="preserve"> data in this report is taken directly from the national IPEDS database published by the U.S. Department of Education's National Center for Education Statistics.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Institution Data</w:t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color w:val="313131"/>
          <w:sz w:val="24"/>
          <w:szCs w:val="24"/>
        </w:rPr>
        <w:t>The institution data in this report is taken directly from the national IPEDS database published by the U.S. Department of Education's National Center for Education Statistics.</w:t>
      </w:r>
      <w:r w:rsidRPr="00FE79CE">
        <w:rPr>
          <w:sz w:val="24"/>
          <w:szCs w:val="24"/>
        </w:rPr>
        <w:t xml:space="preserve"> </w:t>
      </w:r>
      <w:r w:rsidRPr="00FE79CE">
        <w:rPr>
          <w:sz w:val="24"/>
          <w:szCs w:val="24"/>
        </w:rPr>
        <w:br/>
      </w:r>
      <w:r w:rsidRPr="00FE79CE">
        <w:rPr>
          <w:sz w:val="24"/>
          <w:szCs w:val="24"/>
        </w:rPr>
        <w:br/>
      </w:r>
    </w:p>
    <w:p w:rsidR="00983410" w:rsidRPr="00FE79CE" w:rsidRDefault="00983410" w:rsidP="00983410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sz w:val="24"/>
          <w:szCs w:val="24"/>
        </w:rPr>
      </w:pPr>
      <w:r w:rsidRPr="00FE79CE">
        <w:rPr>
          <w:b/>
          <w:bCs/>
          <w:color w:val="313131"/>
          <w:sz w:val="24"/>
          <w:szCs w:val="24"/>
        </w:rPr>
        <w:t>State Data Sources</w:t>
      </w:r>
    </w:p>
    <w:p w:rsidR="009A1BE8" w:rsidRDefault="00983410" w:rsidP="00983410">
      <w:r w:rsidRPr="00FE79CE">
        <w:rPr>
          <w:color w:val="313131"/>
          <w:sz w:val="24"/>
          <w:szCs w:val="24"/>
        </w:rPr>
        <w:t>This report uses state data from the following agencies: California Labor Market Information Department</w:t>
      </w:r>
    </w:p>
    <w:sectPr w:rsidR="009A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6D3">
      <w:r>
        <w:separator/>
      </w:r>
    </w:p>
  </w:endnote>
  <w:endnote w:type="continuationSeparator" w:id="0">
    <w:p w:rsidR="00000000" w:rsidRDefault="00A9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12128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line="240" w:lineRule="atLeast"/>
            <w:ind w:left="57" w:right="5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13A4098" wp14:editId="72CCD24B">
                <wp:extent cx="723900" cy="161925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center"/>
            <w:rPr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</w:rPr>
            <w:t xml:space="preserve"> Q3 2016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right"/>
            <w:rPr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12128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line="240" w:lineRule="atLeast"/>
            <w:ind w:left="57" w:right="5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6AC8799" wp14:editId="13DAD845">
                <wp:extent cx="723900" cy="161925"/>
                <wp:effectExtent l="0" t="0" r="0" b="952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center"/>
            <w:rPr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</w:rPr>
            <w:t xml:space="preserve"> Q3 2016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right"/>
            <w:rPr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12128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line="240" w:lineRule="atLeast"/>
            <w:ind w:left="57" w:right="5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DA780D1" wp14:editId="2E05C325">
                <wp:extent cx="723900" cy="161925"/>
                <wp:effectExtent l="0" t="0" r="0" b="9525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center"/>
            <w:rPr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</w:rPr>
            <w:t xml:space="preserve"> Q3 2016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right"/>
            <w:rPr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</w:rPr>
            <w:pgNum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12128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line="240" w:lineRule="atLeast"/>
            <w:ind w:left="57" w:right="5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2E1C2787" wp14:editId="09252BA8">
                <wp:extent cx="723900" cy="161925"/>
                <wp:effectExtent l="0" t="0" r="0" b="952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center"/>
            <w:rPr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</w:rPr>
            <w:t xml:space="preserve"> Q3 2016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right"/>
            <w:rPr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</w:rPr>
            <w:pgNum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12128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line="240" w:lineRule="atLeast"/>
            <w:ind w:left="57" w:right="5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20875B0" wp14:editId="4997E0D7">
                <wp:extent cx="723900" cy="161925"/>
                <wp:effectExtent l="0" t="0" r="0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center"/>
            <w:rPr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</w:rPr>
            <w:t xml:space="preserve"> Q3 2016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right"/>
            <w:rPr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</w:rPr>
            <w:pgNum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12128B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line="240" w:lineRule="atLeast"/>
            <w:ind w:left="57" w:right="57"/>
            <w:rPr>
              <w:sz w:val="24"/>
              <w:szCs w:val="24"/>
            </w:rPr>
          </w:pP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center"/>
            <w:rPr>
              <w:sz w:val="24"/>
              <w:szCs w:val="24"/>
            </w:rPr>
          </w:pP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12128B" w:rsidRDefault="00A946D3">
          <w:pPr>
            <w:widowControl w:val="0"/>
            <w:autoSpaceDE w:val="0"/>
            <w:autoSpaceDN w:val="0"/>
            <w:adjustRightInd w:val="0"/>
            <w:spacing w:before="100" w:line="240" w:lineRule="atLeast"/>
            <w:ind w:left="57" w:right="57"/>
            <w:jc w:val="right"/>
            <w:rPr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6D3">
      <w:r>
        <w:separator/>
      </w:r>
    </w:p>
  </w:footnote>
  <w:footnote w:type="continuationSeparator" w:id="0">
    <w:p w:rsidR="00000000" w:rsidRDefault="00A9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003B8"/>
    <w:multiLevelType w:val="hybridMultilevel"/>
    <w:tmpl w:val="B1601F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10"/>
    <w:rsid w:val="000516D1"/>
    <w:rsid w:val="00244B49"/>
    <w:rsid w:val="005E7095"/>
    <w:rsid w:val="00694E96"/>
    <w:rsid w:val="008137A3"/>
    <w:rsid w:val="00983410"/>
    <w:rsid w:val="00A9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DD626-04BA-4FF4-8643-665F3A58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10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8137A3"/>
    <w:pPr>
      <w:keepNext/>
      <w:spacing w:before="240" w:after="60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8137A3"/>
    <w:pPr>
      <w:keepNext/>
      <w:spacing w:before="240" w:after="60"/>
      <w:ind w:left="720"/>
      <w:outlineLvl w:val="1"/>
    </w:pPr>
    <w:rPr>
      <w:rFonts w:ascii="Calibri Light" w:hAnsi="Calibri Light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137A3"/>
    <w:pPr>
      <w:keepNext/>
      <w:spacing w:before="240" w:after="60" w:line="360" w:lineRule="auto"/>
      <w:outlineLvl w:val="2"/>
    </w:pPr>
    <w:rPr>
      <w:rFonts w:asciiTheme="majorHAnsi" w:eastAsiaTheme="majorEastAsia" w:hAnsiTheme="majorHAnsi" w:cstheme="majorBidi"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7A3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137A3"/>
    <w:rPr>
      <w:rFonts w:asciiTheme="majorHAnsi" w:eastAsiaTheme="majorEastAsia" w:hAnsiTheme="majorHAnsi" w:cstheme="majorBidi"/>
      <w:bCs/>
      <w:szCs w:val="26"/>
    </w:rPr>
  </w:style>
  <w:style w:type="character" w:customStyle="1" w:styleId="Heading2Char">
    <w:name w:val="Heading 2 Char"/>
    <w:link w:val="Heading2"/>
    <w:rsid w:val="008137A3"/>
    <w:rPr>
      <w:rFonts w:ascii="Calibri Light" w:eastAsia="Times New Roman" w:hAnsi="Calibri Light" w:cs="Times New Roman"/>
      <w:b/>
      <w:bCs/>
      <w:i/>
      <w:iCs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8137A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37A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37A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8137A3"/>
    <w:rPr>
      <w:rFonts w:ascii="Calibri Light" w:eastAsia="Times New Roman" w:hAnsi="Calibri Light" w:cs="Times New Roman"/>
      <w:sz w:val="24"/>
      <w:szCs w:val="24"/>
    </w:rPr>
  </w:style>
  <w:style w:type="character" w:styleId="Hyperlink">
    <w:name w:val="Hyperlink"/>
    <w:rsid w:val="008137A3"/>
    <w:rPr>
      <w:color w:val="0000FF"/>
      <w:u w:val="single"/>
    </w:rPr>
  </w:style>
  <w:style w:type="table" w:styleId="TableGrid">
    <w:name w:val="Table Grid"/>
    <w:basedOn w:val="TableNormal"/>
    <w:rsid w:val="008137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7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4.png"/><Relationship Id="rId32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1011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Camacho</dc:creator>
  <cp:keywords/>
  <dc:description/>
  <cp:lastModifiedBy>Kelli O'Rourke</cp:lastModifiedBy>
  <cp:revision>2</cp:revision>
  <dcterms:created xsi:type="dcterms:W3CDTF">2019-06-26T18:15:00Z</dcterms:created>
  <dcterms:modified xsi:type="dcterms:W3CDTF">2019-06-26T18:15:00Z</dcterms:modified>
</cp:coreProperties>
</file>